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rFonts w:hint="eastAsia"/>
          <w:sz w:val="32"/>
        </w:rPr>
      </w:pPr>
      <w:r>
        <w:rPr>
          <w:rFonts w:hint="eastAsia"/>
          <w:sz w:val="32"/>
        </w:rPr>
        <w:t>附件 4：</w:t>
      </w:r>
    </w:p>
    <w:p>
      <w:pPr>
        <w:pStyle w:val="2"/>
        <w:shd w:val="clear" w:color="auto" w:fill="FFFFFF"/>
        <w:spacing w:line="360" w:lineRule="atLeast"/>
        <w:rPr>
          <w:rFonts w:hint="eastAsia"/>
          <w:sz w:val="32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报 价 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房产地址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承寓.电商之家3#楼配套用房(1-2层）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    积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475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价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40" w:firstLineChars="7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租金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支付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方式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按季度支付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意向承租户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章）：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联系电话：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    期：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15D1"/>
    <w:rsid w:val="09A04A72"/>
    <w:rsid w:val="1D7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2022-04-15T00:37:00Z</dcterms:created>
  <dc:creator>白鹤</dc:creator>
  <cp:lastModifiedBy>白鹤</cp:lastModifiedBy>
  <dcterms:modified xsi:type="dcterms:W3CDTF">2022-05-10T04:33:41Z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095025E70A6B4CDD845E13D2A66520F8</vt:lpwstr>
  </property>
</Properties>
</file>