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E0B4B">
      <w:pPr>
        <w:jc w:val="left"/>
        <w:rPr>
          <w:rFonts w:hint="eastAsia" w:ascii="宋体" w:hAnsi="宋体" w:cs="宋体"/>
          <w:sz w:val="30"/>
          <w:szCs w:val="30"/>
          <w:highlight w:val="none"/>
        </w:rPr>
      </w:pPr>
      <w:r>
        <w:rPr>
          <w:rFonts w:hint="eastAsia" w:ascii="宋体" w:hAnsi="宋体" w:cs="宋体"/>
          <w:sz w:val="30"/>
          <w:szCs w:val="30"/>
          <w:highlight w:val="none"/>
        </w:rPr>
        <w:t>附件二：</w:t>
      </w:r>
    </w:p>
    <w:p w14:paraId="4AA32708">
      <w:pPr>
        <w:jc w:val="center"/>
        <w:rPr>
          <w:rFonts w:hint="eastAsia" w:ascii="仿宋" w:hAnsi="仿宋" w:eastAsia="仿宋" w:cs="仿宋"/>
          <w:sz w:val="36"/>
          <w:szCs w:val="36"/>
          <w:highlight w:val="none"/>
        </w:rPr>
      </w:pPr>
      <w:r>
        <w:rPr>
          <w:rFonts w:hint="eastAsia" w:ascii="仿宋" w:hAnsi="仿宋" w:eastAsia="仿宋" w:cs="仿宋"/>
          <w:b/>
          <w:bCs/>
          <w:sz w:val="36"/>
          <w:szCs w:val="36"/>
          <w:highlight w:val="none"/>
        </w:rPr>
        <w:t>评分办法</w:t>
      </w:r>
    </w:p>
    <w:p w14:paraId="042EF51A">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一、评分程序</w:t>
      </w:r>
    </w:p>
    <w:p w14:paraId="740E983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由合肥市产权交易中心根据招商单位要求组建项目评审小组对各意向方按招商公告要求提交的评审材料进行评审。采用综合评分法，其中技术分满分40分，报价分满分60分，总计100分。意向方通过资格要求，且报价不低于本项目底价的，为合格意向方。若合格意向方为1家的，评审小组可以直接推选该合格意向方为成交人；若合格意向方超过1家，则采用综合评分法按总分排序推选综合排名第一的为成交人。技术分相同时，报价分高者优先；报价分也相同的，由评标委员会根据评审材料投票，按少数服从多数的原则确定成交人。若无合格意向方的，则招商单位重启招商程序。</w:t>
      </w:r>
    </w:p>
    <w:p w14:paraId="2D7C916D">
      <w:pPr>
        <w:numPr>
          <w:ilvl w:val="0"/>
          <w:numId w:val="1"/>
        </w:numPr>
        <w:rPr>
          <w:rFonts w:hint="eastAsia" w:ascii="仿宋" w:hAnsi="仿宋" w:eastAsia="仿宋" w:cs="仿宋"/>
          <w:b/>
          <w:sz w:val="28"/>
          <w:szCs w:val="28"/>
          <w:highlight w:val="none"/>
        </w:rPr>
      </w:pPr>
      <w:r>
        <w:rPr>
          <w:rFonts w:hint="eastAsia" w:ascii="仿宋" w:hAnsi="仿宋" w:eastAsia="仿宋" w:cs="仿宋"/>
          <w:b/>
          <w:bCs/>
          <w:sz w:val="28"/>
          <w:szCs w:val="28"/>
          <w:highlight w:val="none"/>
        </w:rPr>
        <w:t>评分标准</w:t>
      </w:r>
    </w:p>
    <w:p w14:paraId="64C8F3BD">
      <w:pPr>
        <w:adjustRightInd w:val="0"/>
        <w:snapToGrid w:val="0"/>
        <w:ind w:right="-10" w:firstLine="492" w:firstLineChars="175"/>
        <w:rPr>
          <w:rFonts w:hint="eastAsia" w:ascii="仿宋" w:hAnsi="仿宋" w:eastAsia="仿宋" w:cs="仿宋"/>
          <w:b/>
          <w:highlight w:val="none"/>
        </w:rPr>
      </w:pPr>
      <w:r>
        <w:rPr>
          <w:rFonts w:hint="eastAsia" w:ascii="仿宋" w:hAnsi="仿宋" w:eastAsia="仿宋" w:cs="仿宋"/>
          <w:b/>
          <w:sz w:val="28"/>
          <w:szCs w:val="28"/>
          <w:highlight w:val="none"/>
        </w:rPr>
        <w:t>技术分评分标准</w:t>
      </w:r>
    </w:p>
    <w:tbl>
      <w:tblPr>
        <w:tblStyle w:val="3"/>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084"/>
        <w:gridCol w:w="5821"/>
        <w:gridCol w:w="827"/>
      </w:tblGrid>
      <w:tr w14:paraId="65ED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000" w:type="pct"/>
            <w:gridSpan w:val="4"/>
            <w:noWrap w:val="0"/>
            <w:vAlign w:val="center"/>
          </w:tcPr>
          <w:p w14:paraId="552EB74F">
            <w:pPr>
              <w:adjustRightInd w:val="0"/>
              <w:snapToGrid w:val="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评分表-技术分</w:t>
            </w:r>
          </w:p>
        </w:tc>
      </w:tr>
      <w:tr w14:paraId="6F36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pct"/>
            <w:noWrap w:val="0"/>
            <w:vAlign w:val="center"/>
          </w:tcPr>
          <w:p w14:paraId="39032418">
            <w:pPr>
              <w:adjustRightInd w:val="0"/>
              <w:snapToGrid w:val="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序号</w:t>
            </w:r>
          </w:p>
        </w:tc>
        <w:tc>
          <w:tcPr>
            <w:tcW w:w="653" w:type="pct"/>
            <w:noWrap w:val="0"/>
            <w:vAlign w:val="center"/>
          </w:tcPr>
          <w:p w14:paraId="73007C92">
            <w:pPr>
              <w:adjustRightInd w:val="0"/>
              <w:snapToGrid w:val="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指标</w:t>
            </w:r>
          </w:p>
        </w:tc>
        <w:tc>
          <w:tcPr>
            <w:tcW w:w="3507" w:type="pct"/>
            <w:noWrap w:val="0"/>
            <w:vAlign w:val="center"/>
          </w:tcPr>
          <w:p w14:paraId="0DB2C61A">
            <w:pPr>
              <w:adjustRightInd w:val="0"/>
              <w:snapToGrid w:val="0"/>
              <w:ind w:firstLine="562" w:firstLineChars="20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指标描述</w:t>
            </w:r>
          </w:p>
        </w:tc>
        <w:tc>
          <w:tcPr>
            <w:tcW w:w="497" w:type="pct"/>
            <w:noWrap w:val="0"/>
            <w:vAlign w:val="center"/>
          </w:tcPr>
          <w:p w14:paraId="4C8D4C6D">
            <w:pPr>
              <w:adjustRightInd w:val="0"/>
              <w:snapToGrid w:val="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分值范围</w:t>
            </w:r>
          </w:p>
        </w:tc>
      </w:tr>
      <w:tr w14:paraId="5FF8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pct"/>
            <w:noWrap w:val="0"/>
            <w:vAlign w:val="center"/>
          </w:tcPr>
          <w:p w14:paraId="0595F21D">
            <w:pPr>
              <w:jc w:val="center"/>
              <w:rPr>
                <w:rFonts w:hint="eastAsia" w:ascii="仿宋" w:hAnsi="仿宋" w:eastAsia="仿宋" w:cs="仿宋"/>
                <w:b/>
                <w:sz w:val="28"/>
                <w:szCs w:val="28"/>
                <w:highlight w:val="none"/>
              </w:rPr>
            </w:pPr>
            <w:r>
              <w:rPr>
                <w:rFonts w:hint="eastAsia" w:ascii="仿宋" w:hAnsi="仿宋" w:eastAsia="仿宋" w:cs="仿宋"/>
                <w:bCs/>
                <w:sz w:val="28"/>
                <w:szCs w:val="28"/>
                <w:highlight w:val="none"/>
              </w:rPr>
              <w:t>1</w:t>
            </w:r>
          </w:p>
        </w:tc>
        <w:tc>
          <w:tcPr>
            <w:tcW w:w="653" w:type="pct"/>
            <w:noWrap w:val="0"/>
            <w:vAlign w:val="center"/>
          </w:tcPr>
          <w:p w14:paraId="15DA74D4">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意向方注册资本</w:t>
            </w:r>
          </w:p>
        </w:tc>
        <w:tc>
          <w:tcPr>
            <w:tcW w:w="3507" w:type="pct"/>
            <w:noWrap w:val="0"/>
            <w:vAlign w:val="center"/>
          </w:tcPr>
          <w:p w14:paraId="1FCE1157">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意向方注册资本（F）：</w:t>
            </w:r>
          </w:p>
          <w:p w14:paraId="1920AC4D">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1.F≥1000万元，得10分；</w:t>
            </w:r>
          </w:p>
          <w:p w14:paraId="577CD1DF">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2.500≤F＜1000万元，得5分；</w:t>
            </w:r>
          </w:p>
          <w:p w14:paraId="1FE8E282">
            <w:pPr>
              <w:adjustRightInd w:val="0"/>
              <w:snapToGrid w:val="0"/>
              <w:rPr>
                <w:rFonts w:ascii="仿宋" w:hAnsi="仿宋" w:eastAsia="仿宋" w:cs="仿宋"/>
                <w:sz w:val="28"/>
                <w:szCs w:val="28"/>
                <w:highlight w:val="none"/>
              </w:rPr>
            </w:pPr>
            <w:r>
              <w:rPr>
                <w:rFonts w:hint="eastAsia" w:ascii="仿宋" w:hAnsi="仿宋" w:eastAsia="仿宋" w:cs="仿宋"/>
                <w:sz w:val="28"/>
                <w:szCs w:val="28"/>
                <w:highlight w:val="none"/>
              </w:rPr>
              <w:t>3.F＜500万元，得0分。</w:t>
            </w:r>
          </w:p>
          <w:p w14:paraId="63E1DD64">
            <w:pPr>
              <w:rPr>
                <w:rFonts w:hint="eastAsia" w:ascii="仿宋" w:hAnsi="仿宋" w:eastAsia="仿宋" w:cs="仿宋"/>
                <w:sz w:val="28"/>
                <w:szCs w:val="28"/>
                <w:highlight w:val="none"/>
              </w:rPr>
            </w:pPr>
            <w:r>
              <w:rPr>
                <w:rFonts w:hint="eastAsia" w:ascii="仿宋" w:hAnsi="仿宋" w:eastAsia="仿宋" w:cs="仿宋"/>
                <w:b/>
                <w:bCs/>
                <w:sz w:val="28"/>
                <w:szCs w:val="28"/>
                <w:highlight w:val="none"/>
              </w:rPr>
              <w:t>注：</w:t>
            </w:r>
          </w:p>
          <w:p w14:paraId="2A5C5974">
            <w:pPr>
              <w:adjustRightInd w:val="0"/>
              <w:snapToGrid w:val="0"/>
              <w:rPr>
                <w:rFonts w:ascii="仿宋" w:hAnsi="仿宋" w:eastAsia="仿宋" w:cs="仿宋"/>
                <w:b/>
                <w:bCs/>
                <w:sz w:val="28"/>
                <w:szCs w:val="28"/>
                <w:highlight w:val="none"/>
              </w:rPr>
            </w:pPr>
            <w:r>
              <w:rPr>
                <w:rFonts w:hint="eastAsia" w:ascii="仿宋" w:hAnsi="仿宋" w:eastAsia="仿宋" w:cs="仿宋"/>
                <w:b/>
                <w:bCs/>
                <w:sz w:val="28"/>
                <w:szCs w:val="28"/>
                <w:highlight w:val="none"/>
              </w:rPr>
              <w:t>1.评审材料提供营业执照；</w:t>
            </w:r>
          </w:p>
          <w:p w14:paraId="4A160D58">
            <w:pPr>
              <w:adjustRightInd w:val="0"/>
              <w:snapToGrid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2.伪造材料一经查实立即取消资格并列入招商黑名单；</w:t>
            </w:r>
          </w:p>
          <w:p w14:paraId="7F16E0EB">
            <w:pPr>
              <w:adjustRightInd w:val="0"/>
              <w:snapToGrid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3.其他或未提供相关材料的不得分。</w:t>
            </w:r>
          </w:p>
        </w:tc>
        <w:tc>
          <w:tcPr>
            <w:tcW w:w="497" w:type="pct"/>
            <w:noWrap w:val="0"/>
            <w:vAlign w:val="center"/>
          </w:tcPr>
          <w:p w14:paraId="3C8ED20C">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0-10分</w:t>
            </w:r>
          </w:p>
        </w:tc>
      </w:tr>
      <w:tr w14:paraId="4848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3" w:hRule="atLeast"/>
          <w:jc w:val="center"/>
        </w:trPr>
        <w:tc>
          <w:tcPr>
            <w:tcW w:w="342" w:type="pct"/>
            <w:noWrap w:val="0"/>
            <w:vAlign w:val="center"/>
          </w:tcPr>
          <w:p w14:paraId="380C4AA2">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653" w:type="pct"/>
            <w:noWrap w:val="0"/>
            <w:vAlign w:val="center"/>
          </w:tcPr>
          <w:p w14:paraId="75E23C86">
            <w:pPr>
              <w:suppressAutoHyphens/>
              <w:adjustRightInd w:val="0"/>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S2栋酒店业态品牌知名度（不含相关衍生品牌及同一母公司旗下其他品牌）</w:t>
            </w:r>
          </w:p>
        </w:tc>
        <w:tc>
          <w:tcPr>
            <w:tcW w:w="3507" w:type="pct"/>
            <w:noWrap w:val="0"/>
            <w:vAlign w:val="center"/>
          </w:tcPr>
          <w:p w14:paraId="22BD06E9">
            <w:pPr>
              <w:adjustRightInd w:val="0"/>
              <w:snapToGrid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1.行业权威指数与认证（10分）</w:t>
            </w:r>
          </w:p>
          <w:p w14:paraId="55B247BC">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参考迈点研究院发布的迈点品牌指数MBI及投资指数，评估意向方酒店品牌在2025年8月的行业权威指数（意向方酒店需为迈点指数网国际国内中端酒店及以上分类）：</w:t>
            </w:r>
          </w:p>
          <w:p w14:paraId="56AFB0F4">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MBI指数：</w:t>
            </w:r>
          </w:p>
          <w:p w14:paraId="6CC2D6FE">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（1）MBI指数≥550，得5分；</w:t>
            </w:r>
          </w:p>
          <w:p w14:paraId="25E8A589">
            <w:pPr>
              <w:adjustRightInd w:val="0"/>
              <w:snapToGrid w:val="0"/>
              <w:rPr>
                <w:rFonts w:hint="eastAsia" w:ascii="仿宋" w:hAnsi="仿宋" w:eastAsia="仿宋" w:cs="仿宋"/>
                <w:sz w:val="28"/>
                <w:szCs w:val="28"/>
                <w:highlight w:val="none"/>
              </w:rPr>
            </w:pPr>
            <w:r>
              <w:rPr>
                <w:rFonts w:hint="eastAsia" w:ascii="仿宋" w:hAnsi="仿宋" w:eastAsia="仿宋" w:cs="仿宋"/>
                <w:bCs/>
                <w:sz w:val="28"/>
                <w:szCs w:val="28"/>
                <w:highlight w:val="none"/>
              </w:rPr>
              <w:t>（2）400≤</w:t>
            </w:r>
            <w:r>
              <w:rPr>
                <w:rFonts w:hint="eastAsia" w:ascii="仿宋" w:hAnsi="仿宋" w:eastAsia="仿宋" w:cs="仿宋"/>
                <w:sz w:val="28"/>
                <w:szCs w:val="28"/>
                <w:highlight w:val="none"/>
              </w:rPr>
              <w:t>MBI指数</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550，得2分；</w:t>
            </w:r>
          </w:p>
          <w:p w14:paraId="1FB9400B">
            <w:pPr>
              <w:adjustRightInd w:val="0"/>
              <w:snapToGrid w:val="0"/>
              <w:rPr>
                <w:rFonts w:hint="eastAsia" w:ascii="仿宋" w:hAnsi="仿宋" w:eastAsia="仿宋" w:cs="仿宋"/>
                <w:sz w:val="28"/>
                <w:szCs w:val="28"/>
                <w:highlight w:val="none"/>
              </w:rPr>
            </w:pPr>
            <w:r>
              <w:rPr>
                <w:rFonts w:hint="eastAsia" w:ascii="仿宋" w:hAnsi="仿宋" w:eastAsia="仿宋" w:cs="仿宋"/>
                <w:bCs/>
                <w:sz w:val="28"/>
                <w:szCs w:val="28"/>
                <w:highlight w:val="none"/>
              </w:rPr>
              <w:t>（3）300≤</w:t>
            </w:r>
            <w:r>
              <w:rPr>
                <w:rFonts w:hint="eastAsia" w:ascii="仿宋" w:hAnsi="仿宋" w:eastAsia="仿宋" w:cs="仿宋"/>
                <w:sz w:val="28"/>
                <w:szCs w:val="28"/>
                <w:highlight w:val="none"/>
              </w:rPr>
              <w:t>MBI指数</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400，得1分；</w:t>
            </w:r>
          </w:p>
          <w:p w14:paraId="078980D7">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（4）MBI指数</w:t>
            </w:r>
            <w:r>
              <w:rPr>
                <w:rFonts w:hint="eastAsia" w:ascii="仿宋" w:hAnsi="仿宋" w:eastAsia="仿宋" w:cs="仿宋"/>
                <w:bCs/>
                <w:sz w:val="28"/>
                <w:szCs w:val="28"/>
                <w:highlight w:val="none"/>
              </w:rPr>
              <w:t>＜3</w:t>
            </w:r>
            <w:r>
              <w:rPr>
                <w:rFonts w:hint="eastAsia" w:ascii="仿宋" w:hAnsi="仿宋" w:eastAsia="仿宋" w:cs="仿宋"/>
                <w:sz w:val="28"/>
                <w:szCs w:val="28"/>
                <w:highlight w:val="none"/>
              </w:rPr>
              <w:t>00或暂无榜单指数，得0分。</w:t>
            </w:r>
          </w:p>
          <w:p w14:paraId="16FDB633">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投资指数：</w:t>
            </w:r>
          </w:p>
          <w:p w14:paraId="045410C6">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（1）投资指数≥200，得5分；</w:t>
            </w:r>
          </w:p>
          <w:p w14:paraId="6ECC3063">
            <w:pPr>
              <w:adjustRightInd w:val="0"/>
              <w:snapToGrid w:val="0"/>
              <w:rPr>
                <w:rFonts w:hint="eastAsia" w:ascii="仿宋" w:hAnsi="仿宋" w:eastAsia="仿宋" w:cs="仿宋"/>
                <w:sz w:val="28"/>
                <w:szCs w:val="28"/>
                <w:highlight w:val="none"/>
              </w:rPr>
            </w:pPr>
            <w:r>
              <w:rPr>
                <w:rFonts w:hint="eastAsia" w:ascii="仿宋" w:hAnsi="仿宋" w:eastAsia="仿宋" w:cs="仿宋"/>
                <w:bCs/>
                <w:sz w:val="28"/>
                <w:szCs w:val="28"/>
                <w:highlight w:val="none"/>
              </w:rPr>
              <w:t>（2）180≤</w:t>
            </w:r>
            <w:r>
              <w:rPr>
                <w:rFonts w:hint="eastAsia" w:ascii="仿宋" w:hAnsi="仿宋" w:eastAsia="仿宋" w:cs="仿宋"/>
                <w:sz w:val="28"/>
                <w:szCs w:val="28"/>
                <w:highlight w:val="none"/>
              </w:rPr>
              <w:t>投资指数</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200，得2分；</w:t>
            </w:r>
          </w:p>
          <w:p w14:paraId="1F5ABF4D">
            <w:pPr>
              <w:adjustRightInd w:val="0"/>
              <w:snapToGrid w:val="0"/>
              <w:rPr>
                <w:rFonts w:hint="eastAsia" w:ascii="仿宋" w:hAnsi="仿宋" w:eastAsia="仿宋" w:cs="仿宋"/>
                <w:sz w:val="28"/>
                <w:szCs w:val="28"/>
                <w:highlight w:val="none"/>
              </w:rPr>
            </w:pPr>
            <w:r>
              <w:rPr>
                <w:rFonts w:hint="eastAsia" w:ascii="仿宋" w:hAnsi="仿宋" w:eastAsia="仿宋" w:cs="仿宋"/>
                <w:bCs/>
                <w:sz w:val="28"/>
                <w:szCs w:val="28"/>
                <w:highlight w:val="none"/>
              </w:rPr>
              <w:t>（3）100≤</w:t>
            </w:r>
            <w:r>
              <w:rPr>
                <w:rFonts w:hint="eastAsia" w:ascii="仿宋" w:hAnsi="仿宋" w:eastAsia="仿宋" w:cs="仿宋"/>
                <w:sz w:val="28"/>
                <w:szCs w:val="28"/>
                <w:highlight w:val="none"/>
              </w:rPr>
              <w:t>投资指数</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180，得1分；</w:t>
            </w:r>
          </w:p>
          <w:p w14:paraId="4E4E5B41">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（4）投资指数</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100或暂无榜单指数，得0分。</w:t>
            </w:r>
          </w:p>
          <w:p w14:paraId="08363134">
            <w:pPr>
              <w:adjustRightInd w:val="0"/>
              <w:snapToGrid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2.区域市场覆盖能力（10分）</w:t>
            </w:r>
          </w:p>
          <w:p w14:paraId="5846527F">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品牌在合肥市（含所属市、县、区）的门店布局密度。</w:t>
            </w:r>
          </w:p>
          <w:p w14:paraId="4DF53986">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（1）合肥辖区、县内品牌酒店数量达到40家及以上的，得10分；</w:t>
            </w:r>
          </w:p>
          <w:p w14:paraId="053057AA">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（2）合肥辖区、县内品牌酒店数量达到30家及以上的，得7分；</w:t>
            </w:r>
          </w:p>
          <w:p w14:paraId="120D513C">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（3）合肥辖区、县内品牌酒店数量达到20家及以上的，得3分；</w:t>
            </w:r>
          </w:p>
          <w:p w14:paraId="4086FB57">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（4）合肥辖区、县内品牌酒店数量低于10家店的，得0分。</w:t>
            </w:r>
          </w:p>
          <w:p w14:paraId="521E3FB2">
            <w:pPr>
              <w:adjustRightInd w:val="0"/>
              <w:snapToGrid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w:t>
            </w:r>
          </w:p>
          <w:p w14:paraId="0B804A7B">
            <w:pPr>
              <w:adjustRightInd w:val="0"/>
              <w:snapToGrid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1.迈点品牌指数MBI及投资指数将依据迈点指数网进行评审打分，意向方提供迈点指数网2025年8月份数据截图；</w:t>
            </w:r>
          </w:p>
          <w:p w14:paraId="64869478">
            <w:pPr>
              <w:adjustRightInd w:val="0"/>
              <w:snapToGrid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2.意向方提供合肥市现有开业门店清单（注明具体区县、开业时间）、门店位置分布图等；</w:t>
            </w:r>
          </w:p>
          <w:p w14:paraId="58213A3B">
            <w:pPr>
              <w:adjustRightInd w:val="0"/>
              <w:snapToGrid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3.其他或未提供相关材料的不得分。</w:t>
            </w:r>
          </w:p>
        </w:tc>
        <w:tc>
          <w:tcPr>
            <w:tcW w:w="497" w:type="pct"/>
            <w:noWrap w:val="0"/>
            <w:vAlign w:val="center"/>
          </w:tcPr>
          <w:p w14:paraId="5C9C6088">
            <w:pPr>
              <w:suppressAutoHyphens/>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0-20分</w:t>
            </w:r>
          </w:p>
        </w:tc>
      </w:tr>
      <w:tr w14:paraId="34D7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342" w:type="pct"/>
            <w:noWrap w:val="0"/>
            <w:vAlign w:val="center"/>
          </w:tcPr>
          <w:p w14:paraId="7490F31F">
            <w:pPr>
              <w:jc w:val="center"/>
              <w:rPr>
                <w:rFonts w:hint="eastAsia" w:ascii="仿宋" w:hAnsi="仿宋" w:eastAsia="仿宋" w:cs="仿宋"/>
                <w:color w:val="FF0000"/>
                <w:sz w:val="28"/>
                <w:szCs w:val="28"/>
                <w:highlight w:val="none"/>
              </w:rPr>
            </w:pPr>
            <w:r>
              <w:rPr>
                <w:rFonts w:hint="eastAsia" w:ascii="仿宋" w:hAnsi="仿宋" w:eastAsia="仿宋" w:cs="仿宋"/>
                <w:sz w:val="28"/>
                <w:szCs w:val="28"/>
                <w:highlight w:val="none"/>
              </w:rPr>
              <w:t>3</w:t>
            </w:r>
          </w:p>
        </w:tc>
        <w:tc>
          <w:tcPr>
            <w:tcW w:w="653" w:type="pct"/>
            <w:noWrap w:val="0"/>
            <w:vAlign w:val="center"/>
          </w:tcPr>
          <w:p w14:paraId="62B06E2E">
            <w:pPr>
              <w:suppressAutoHyphens/>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装修改造运营方案</w:t>
            </w:r>
          </w:p>
        </w:tc>
        <w:tc>
          <w:tcPr>
            <w:tcW w:w="3507" w:type="pct"/>
            <w:noWrap w:val="0"/>
            <w:vAlign w:val="center"/>
          </w:tcPr>
          <w:p w14:paraId="46CBFA02">
            <w:pPr>
              <w:suppressAutoHyphens/>
              <w:adjustRightInd w:val="0"/>
              <w:snapToGrid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1.装修改造及业态规划方案（F1）</w:t>
            </w:r>
          </w:p>
          <w:p w14:paraId="53E2C579">
            <w:pPr>
              <w:suppressAutoHyphens/>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意向方提供装修改造方案及业态规划方案，修改造方案内容包括但不限于平面布局、效果图设计等；业态规划方案内容应涵盖酒店业态及其余商业配套业态（如餐饮、会议、休闲娱乐等）的总体规划。</w:t>
            </w:r>
          </w:p>
          <w:p w14:paraId="26F060D2">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方案详尽、创新，设计美观且符合项目实际需求以及酒店品牌标准，功能分区合理，业态定位精准，酒店与其余商业业态布局科学、功能互补性强、品牌组合丰富且层次清晰，落位规划合理，得2＜F1≤5分；</w:t>
            </w:r>
          </w:p>
          <w:p w14:paraId="4534B3D1">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仅提供基础平面图或简易示意图，仅对酒店及商业业态进行基础性描述，品牌组合与落位规划较为简单，得0＜F1≤2分；</w:t>
            </w:r>
          </w:p>
          <w:p w14:paraId="2CEAB030">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未提供或方案与项目实际明显偏离，得0分。</w:t>
            </w:r>
          </w:p>
          <w:p w14:paraId="6A873494">
            <w:pPr>
              <w:suppressAutoHyphens/>
              <w:adjustRightInd w:val="0"/>
              <w:snapToGrid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2.运营管理方案（F2）</w:t>
            </w:r>
          </w:p>
          <w:p w14:paraId="63F5341F">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意向方提供运营管理方案，内容包括但不限于投资预算、运营管理体系等。</w:t>
            </w:r>
          </w:p>
          <w:p w14:paraId="4BDD53E4">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运营方案与品牌定位深度绑定，投资预算编制规范，管理体系完整，得2＜F2≤5分；</w:t>
            </w:r>
          </w:p>
          <w:p w14:paraId="7B2AE05B">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仅描述基础运营思路，投资估算框架完整但缺乏细化条目，管理方案仅框架性描述，得0＜F2≤2分；</w:t>
            </w:r>
          </w:p>
          <w:p w14:paraId="10E4A998">
            <w:pPr>
              <w:adjustRightInd w:val="0"/>
              <w:snapToGrid w:val="0"/>
              <w:rPr>
                <w:rFonts w:hint="eastAsia" w:ascii="仿宋" w:hAnsi="仿宋" w:eastAsia="仿宋" w:cs="仿宋"/>
                <w:sz w:val="28"/>
                <w:szCs w:val="28"/>
                <w:highlight w:val="none"/>
              </w:rPr>
            </w:pPr>
            <w:r>
              <w:rPr>
                <w:rFonts w:hint="eastAsia" w:ascii="仿宋" w:hAnsi="仿宋" w:eastAsia="仿宋" w:cs="仿宋"/>
                <w:sz w:val="28"/>
                <w:szCs w:val="28"/>
                <w:highlight w:val="none"/>
              </w:rPr>
              <w:t>未提供或方案与项目实际明显偏离，得0分。</w:t>
            </w:r>
          </w:p>
          <w:p w14:paraId="5D4EB658">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w:t>
            </w:r>
          </w:p>
          <w:p w14:paraId="2CE018B5">
            <w:pPr>
              <w:adjustRightInd w:val="0"/>
              <w:snapToGrid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评审时意向方提交的装修改造方案将作为装修审批、竣工验收的重要依据文件；若施工中需优化调整，须提前向招商单位提交书面变更申请（附对比说明及图纸），经审核确认符合安全规范且未降低原标准后方可实施。擅自降低原标准或违规改动，招商单位有权要求停工整改或解除合同；</w:t>
            </w:r>
          </w:p>
          <w:p w14:paraId="57599965">
            <w:pPr>
              <w:adjustRightInd w:val="0"/>
              <w:snapToGrid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2.对擅自拆改、变动或损坏房屋主体结构及违规拆除等重大偏差行为，招商单位有权单方解除合同、收回房屋，并通知成交人限期腾空搬离，对成交人所实施的装饰装修改造部分不予任何形式的补偿或赔偿。</w:t>
            </w:r>
          </w:p>
          <w:p w14:paraId="6D0E405E">
            <w:pPr>
              <w:adjustRightInd w:val="0"/>
              <w:snapToGrid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3.意向方制定装修改造运营方案过程中可能产生的费用需自行承担。同时，这些费用并不代表成交保证，成交结果仍取决于招商评审的综合评价。</w:t>
            </w:r>
          </w:p>
        </w:tc>
        <w:tc>
          <w:tcPr>
            <w:tcW w:w="497" w:type="pct"/>
            <w:noWrap w:val="0"/>
            <w:vAlign w:val="center"/>
          </w:tcPr>
          <w:p w14:paraId="26925487">
            <w:pPr>
              <w:suppressAutoHyphens/>
              <w:adjustRightInd w:val="0"/>
              <w:snapToGrid w:val="0"/>
              <w:rPr>
                <w:rFonts w:hint="eastAsia" w:ascii="仿宋" w:hAnsi="仿宋" w:eastAsia="仿宋" w:cs="仿宋"/>
                <w:color w:val="FF0000"/>
                <w:sz w:val="28"/>
                <w:szCs w:val="28"/>
                <w:highlight w:val="none"/>
              </w:rPr>
            </w:pPr>
            <w:r>
              <w:rPr>
                <w:rFonts w:hint="eastAsia" w:ascii="仿宋" w:hAnsi="仿宋" w:eastAsia="仿宋" w:cs="仿宋"/>
                <w:sz w:val="28"/>
                <w:szCs w:val="28"/>
                <w:highlight w:val="none"/>
              </w:rPr>
              <w:t>0-10分</w:t>
            </w:r>
          </w:p>
        </w:tc>
      </w:tr>
      <w:tr w14:paraId="27CC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342" w:type="pct"/>
            <w:noWrap w:val="0"/>
            <w:vAlign w:val="center"/>
          </w:tcPr>
          <w:p w14:paraId="50BAC1BF">
            <w:pPr>
              <w:jc w:val="center"/>
              <w:rPr>
                <w:rFonts w:hint="eastAsia" w:ascii="仿宋" w:hAnsi="仿宋" w:eastAsia="仿宋" w:cs="仿宋"/>
                <w:color w:val="FF0000"/>
                <w:sz w:val="28"/>
                <w:szCs w:val="28"/>
                <w:highlight w:val="none"/>
              </w:rPr>
            </w:pPr>
          </w:p>
        </w:tc>
        <w:tc>
          <w:tcPr>
            <w:tcW w:w="653" w:type="pct"/>
            <w:noWrap w:val="0"/>
            <w:vAlign w:val="center"/>
          </w:tcPr>
          <w:p w14:paraId="5C0F9796">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合计</w:t>
            </w:r>
          </w:p>
        </w:tc>
        <w:tc>
          <w:tcPr>
            <w:tcW w:w="3507" w:type="pct"/>
            <w:noWrap w:val="0"/>
            <w:vAlign w:val="center"/>
          </w:tcPr>
          <w:p w14:paraId="29E50397">
            <w:pPr>
              <w:jc w:val="center"/>
              <w:rPr>
                <w:rFonts w:hint="eastAsia" w:ascii="仿宋" w:hAnsi="仿宋" w:eastAsia="仿宋" w:cs="仿宋"/>
                <w:sz w:val="28"/>
                <w:szCs w:val="28"/>
                <w:highlight w:val="none"/>
              </w:rPr>
            </w:pPr>
          </w:p>
        </w:tc>
        <w:tc>
          <w:tcPr>
            <w:tcW w:w="497" w:type="pct"/>
            <w:noWrap w:val="0"/>
            <w:vAlign w:val="center"/>
          </w:tcPr>
          <w:p w14:paraId="40DD8468">
            <w:pPr>
              <w:jc w:val="center"/>
              <w:rPr>
                <w:rFonts w:hint="eastAsia" w:ascii="仿宋" w:hAnsi="仿宋" w:eastAsia="仿宋" w:cs="仿宋"/>
                <w:color w:val="FF0000"/>
                <w:sz w:val="28"/>
                <w:szCs w:val="28"/>
                <w:highlight w:val="none"/>
              </w:rPr>
            </w:pPr>
            <w:r>
              <w:rPr>
                <w:rFonts w:hint="eastAsia" w:ascii="仿宋" w:hAnsi="仿宋" w:eastAsia="仿宋" w:cs="仿宋"/>
                <w:sz w:val="28"/>
                <w:szCs w:val="28"/>
                <w:highlight w:val="none"/>
              </w:rPr>
              <w:t>0-40分</w:t>
            </w:r>
          </w:p>
        </w:tc>
      </w:tr>
    </w:tbl>
    <w:p w14:paraId="094B9084">
      <w:pPr>
        <w:adjustRightInd w:val="0"/>
        <w:snapToGrid w:val="0"/>
        <w:spacing w:line="360" w:lineRule="auto"/>
        <w:ind w:right="-10"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报价分评分标准</w:t>
      </w:r>
    </w:p>
    <w:tbl>
      <w:tblPr>
        <w:tblStyle w:val="3"/>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002"/>
        <w:gridCol w:w="5972"/>
        <w:gridCol w:w="916"/>
      </w:tblGrid>
      <w:tr w14:paraId="3A98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05" w:type="pct"/>
            <w:noWrap w:val="0"/>
            <w:vAlign w:val="center"/>
          </w:tcPr>
          <w:p w14:paraId="33A7A716">
            <w:pPr>
              <w:spacing w:line="440" w:lineRule="exact"/>
              <w:rPr>
                <w:rFonts w:hint="eastAsia" w:ascii="仿宋" w:hAnsi="仿宋" w:eastAsia="仿宋" w:cs="仿宋"/>
                <w:b/>
                <w:sz w:val="28"/>
                <w:szCs w:val="28"/>
                <w:highlight w:val="none"/>
              </w:rPr>
            </w:pPr>
          </w:p>
        </w:tc>
        <w:tc>
          <w:tcPr>
            <w:tcW w:w="1002" w:type="dxa"/>
            <w:noWrap w:val="0"/>
            <w:vAlign w:val="center"/>
          </w:tcPr>
          <w:p w14:paraId="26D4CFF5">
            <w:pPr>
              <w:adjustRightInd w:val="0"/>
              <w:snapToGrid w:val="0"/>
              <w:jc w:val="center"/>
              <w:rPr>
                <w:rFonts w:hint="eastAsia" w:ascii="仿宋" w:hAnsi="仿宋" w:eastAsia="仿宋" w:cs="仿宋"/>
                <w:sz w:val="28"/>
                <w:szCs w:val="28"/>
                <w:highlight w:val="none"/>
              </w:rPr>
            </w:pPr>
            <w:r>
              <w:rPr>
                <w:rFonts w:hint="eastAsia" w:ascii="仿宋" w:hAnsi="仿宋" w:eastAsia="仿宋" w:cs="仿宋"/>
                <w:b/>
                <w:sz w:val="28"/>
                <w:szCs w:val="28"/>
                <w:highlight w:val="none"/>
              </w:rPr>
              <w:t>指标</w:t>
            </w:r>
          </w:p>
        </w:tc>
        <w:tc>
          <w:tcPr>
            <w:tcW w:w="5972" w:type="dxa"/>
            <w:noWrap w:val="0"/>
            <w:vAlign w:val="center"/>
          </w:tcPr>
          <w:p w14:paraId="770D4CF4">
            <w:pPr>
              <w:adjustRightInd w:val="0"/>
              <w:snapToGrid w:val="0"/>
              <w:ind w:firstLine="562" w:firstLineChars="200"/>
              <w:jc w:val="center"/>
              <w:rPr>
                <w:rFonts w:hint="eastAsia" w:ascii="仿宋" w:hAnsi="仿宋" w:eastAsia="仿宋" w:cs="仿宋"/>
                <w:sz w:val="28"/>
                <w:szCs w:val="28"/>
                <w:highlight w:val="none"/>
              </w:rPr>
            </w:pPr>
            <w:r>
              <w:rPr>
                <w:rFonts w:hint="eastAsia" w:ascii="仿宋" w:hAnsi="仿宋" w:eastAsia="仿宋" w:cs="仿宋"/>
                <w:b/>
                <w:sz w:val="28"/>
                <w:szCs w:val="28"/>
                <w:highlight w:val="none"/>
              </w:rPr>
              <w:t>指标描述</w:t>
            </w:r>
          </w:p>
        </w:tc>
        <w:tc>
          <w:tcPr>
            <w:tcW w:w="916" w:type="dxa"/>
            <w:noWrap w:val="0"/>
            <w:vAlign w:val="center"/>
          </w:tcPr>
          <w:p w14:paraId="4E6D860E">
            <w:pPr>
              <w:adjustRightInd w:val="0"/>
              <w:snapToGrid w:val="0"/>
              <w:jc w:val="center"/>
              <w:rPr>
                <w:rFonts w:hint="eastAsia" w:ascii="仿宋" w:hAnsi="仿宋" w:eastAsia="仿宋" w:cs="仿宋"/>
                <w:bCs/>
                <w:kern w:val="0"/>
                <w:sz w:val="28"/>
                <w:szCs w:val="28"/>
                <w:highlight w:val="none"/>
              </w:rPr>
            </w:pPr>
            <w:r>
              <w:rPr>
                <w:rFonts w:hint="eastAsia" w:ascii="仿宋" w:hAnsi="仿宋" w:eastAsia="仿宋" w:cs="仿宋"/>
                <w:b/>
                <w:sz w:val="28"/>
                <w:szCs w:val="28"/>
                <w:highlight w:val="none"/>
              </w:rPr>
              <w:t>分值范围</w:t>
            </w:r>
          </w:p>
        </w:tc>
      </w:tr>
      <w:tr w14:paraId="69BB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305" w:type="pct"/>
            <w:noWrap w:val="0"/>
            <w:vAlign w:val="center"/>
          </w:tcPr>
          <w:p w14:paraId="5125CDF4">
            <w:pPr>
              <w:spacing w:line="440" w:lineRule="exact"/>
              <w:rPr>
                <w:rFonts w:hint="eastAsia" w:ascii="仿宋" w:hAnsi="仿宋" w:eastAsia="仿宋" w:cs="仿宋"/>
                <w:sz w:val="28"/>
                <w:szCs w:val="28"/>
                <w:highlight w:val="none"/>
              </w:rPr>
            </w:pPr>
            <w:r>
              <w:rPr>
                <w:rFonts w:hint="eastAsia" w:ascii="仿宋" w:hAnsi="仿宋" w:eastAsia="仿宋" w:cs="仿宋"/>
                <w:b/>
                <w:sz w:val="28"/>
                <w:szCs w:val="28"/>
                <w:highlight w:val="none"/>
              </w:rPr>
              <w:t>报价评审</w:t>
            </w:r>
          </w:p>
        </w:tc>
        <w:tc>
          <w:tcPr>
            <w:tcW w:w="596" w:type="pct"/>
            <w:noWrap w:val="0"/>
            <w:vAlign w:val="center"/>
          </w:tcPr>
          <w:p w14:paraId="3AE25F45">
            <w:pPr>
              <w:spacing w:line="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报价得分</w:t>
            </w:r>
          </w:p>
        </w:tc>
        <w:tc>
          <w:tcPr>
            <w:tcW w:w="3552" w:type="pct"/>
            <w:noWrap w:val="0"/>
            <w:vAlign w:val="center"/>
          </w:tcPr>
          <w:p w14:paraId="26147FB7">
            <w:pPr>
              <w:spacing w:line="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1.确定评标价</w:t>
            </w:r>
          </w:p>
          <w:p w14:paraId="2BC8DCA9">
            <w:pPr>
              <w:spacing w:line="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评标价=最终报价</w:t>
            </w:r>
          </w:p>
          <w:p w14:paraId="6A6B34F9">
            <w:pPr>
              <w:spacing w:line="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2.确定评标基准价</w:t>
            </w:r>
          </w:p>
          <w:p w14:paraId="7240B83E">
            <w:pPr>
              <w:spacing w:line="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以通过资格要求的评审材料的最高评标价作为评标基准价</w:t>
            </w:r>
          </w:p>
          <w:p w14:paraId="4896C1C2">
            <w:pPr>
              <w:spacing w:line="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3.评标价得分计算</w:t>
            </w:r>
          </w:p>
          <w:p w14:paraId="2AD7134D">
            <w:pPr>
              <w:spacing w:line="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评标价得分按照下列公式计算：</w:t>
            </w:r>
          </w:p>
          <w:p w14:paraId="1A75F25A">
            <w:pPr>
              <w:spacing w:line="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评标价得分＝（评标价/评标基准价）*60。</w:t>
            </w:r>
          </w:p>
          <w:p w14:paraId="31232B5A">
            <w:pPr>
              <w:spacing w:line="0" w:lineRule="atLeast"/>
              <w:rPr>
                <w:rFonts w:hint="eastAsia" w:ascii="仿宋" w:hAnsi="仿宋" w:eastAsia="仿宋" w:cs="仿宋"/>
                <w:sz w:val="28"/>
                <w:szCs w:val="28"/>
                <w:highlight w:val="none"/>
              </w:rPr>
            </w:pPr>
            <w:r>
              <w:rPr>
                <w:rFonts w:hint="eastAsia" w:ascii="仿宋" w:hAnsi="仿宋" w:eastAsia="仿宋" w:cs="仿宋"/>
                <w:sz w:val="28"/>
                <w:szCs w:val="28"/>
                <w:highlight w:val="none"/>
              </w:rPr>
              <w:t>报价得分保留小数点后两位，小数点后第三位“四舍五入”，即为*.**。</w:t>
            </w:r>
          </w:p>
        </w:tc>
        <w:tc>
          <w:tcPr>
            <w:tcW w:w="545" w:type="pct"/>
            <w:noWrap w:val="0"/>
            <w:vAlign w:val="center"/>
          </w:tcPr>
          <w:p w14:paraId="3AC5EB16">
            <w:pPr>
              <w:widowControl/>
              <w:spacing w:line="440" w:lineRule="exact"/>
              <w:jc w:val="center"/>
              <w:rPr>
                <w:rFonts w:hint="eastAsia" w:ascii="仿宋" w:hAnsi="仿宋" w:eastAsia="仿宋" w:cs="仿宋"/>
                <w:b/>
                <w:kern w:val="0"/>
                <w:sz w:val="28"/>
                <w:szCs w:val="28"/>
                <w:highlight w:val="none"/>
              </w:rPr>
            </w:pPr>
            <w:r>
              <w:rPr>
                <w:rFonts w:hint="eastAsia" w:ascii="仿宋" w:hAnsi="仿宋" w:eastAsia="仿宋" w:cs="仿宋"/>
                <w:bCs/>
                <w:kern w:val="0"/>
                <w:sz w:val="28"/>
                <w:szCs w:val="28"/>
                <w:highlight w:val="none"/>
              </w:rPr>
              <w:t>0-60分</w:t>
            </w:r>
          </w:p>
        </w:tc>
      </w:tr>
    </w:tbl>
    <w:p w14:paraId="46AFFD0F">
      <w:pPr>
        <w:adjustRightInd w:val="0"/>
        <w:snapToGrid w:val="0"/>
        <w:ind w:right="-10"/>
        <w:rPr>
          <w:rFonts w:hint="eastAsia" w:ascii="仿宋" w:hAnsi="仿宋" w:eastAsia="仿宋" w:cs="仿宋"/>
          <w:b/>
          <w:sz w:val="28"/>
          <w:szCs w:val="28"/>
          <w:highlight w:val="none"/>
        </w:rPr>
      </w:pPr>
    </w:p>
    <w:p w14:paraId="75B514A2">
      <w:pPr>
        <w:rPr>
          <w:highlight w:val="none"/>
        </w:rPr>
      </w:pPr>
    </w:p>
    <w:p w14:paraId="3BF760E5">
      <w:pPr>
        <w:pStyle w:val="2"/>
        <w:ind w:firstLine="480"/>
        <w:rPr>
          <w:rFonts w:hint="eastAsia" w:ascii="微软雅黑" w:hAnsi="微软雅黑" w:eastAsia="微软雅黑" w:cs="微软雅黑"/>
          <w:b/>
          <w:bCs/>
          <w:sz w:val="24"/>
          <w:highlight w:val="none"/>
        </w:rPr>
      </w:pPr>
    </w:p>
    <w:p w14:paraId="7C8DF48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276B3"/>
    <w:multiLevelType w:val="singleLevel"/>
    <w:tmpl w:val="544276B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Nzk2NzhkOTdjNjY4MjI1ZTQ0ZGMyMzI4MjA2MWEifQ=="/>
  </w:docVars>
  <w:rsids>
    <w:rsidRoot w:val="763A790F"/>
    <w:rsid w:val="606B7F1D"/>
    <w:rsid w:val="763A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1789</Words>
  <Characters>1904</Characters>
  <Lines>0</Lines>
  <Paragraphs>0</Paragraphs>
  <TotalTime>0</TotalTime>
  <ScaleCrop>false</ScaleCrop>
  <LinksUpToDate>false</LinksUpToDate>
  <CharactersWithSpaces>1904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2025-09-29T08:40:00Z</dcterms:created>
  <dc:creator>11</dc:creator>
  <cp:lastModifiedBy>王娟</cp:lastModifiedBy>
  <dcterms:modified xsi:type="dcterms:W3CDTF">2025-09-30T02:04:00Z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4C62A2D1B6454D0499E18EE098E0232A_11</vt:lpwstr>
  </property>
  <property fmtid="{D5CDD505-2E9C-101B-9397-08002B2CF9AE}" pid="4" name="KSOTemplateDocerSaveRecord">
    <vt:lpwstr>eyJoZGlkIjoiOTAwMDc1Mzc2ZmUyOTQzYjE2ZGU3MGIxZjJlNjEwZGMiLCJ1c2VySWQiOiIyNDkwMjQzMjkifQ==</vt:lpwstr>
  </property>
</Properties>
</file>